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27A1A">
      <w:pPr>
        <w:pStyle w:val="2"/>
        <w:jc w:val="center"/>
      </w:pPr>
      <w:r>
        <w:t>安徽运八需求</w:t>
      </w:r>
    </w:p>
    <w:p w14:paraId="60EE5DF1">
      <w:pPr>
        <w:pStyle w:val="3"/>
        <w:rPr>
          <w:sz w:val="28"/>
        </w:rPr>
      </w:pPr>
      <w:r>
        <w:rPr>
          <w:sz w:val="28"/>
        </w:rPr>
        <w:t>一</w:t>
      </w:r>
      <w:r>
        <w:rPr>
          <w:rFonts w:hint="eastAsia"/>
          <w:sz w:val="28"/>
        </w:rPr>
        <w:t>、</w:t>
      </w:r>
      <w:r>
        <w:rPr>
          <w:sz w:val="28"/>
        </w:rPr>
        <w:t>需求概述</w:t>
      </w:r>
    </w:p>
    <w:p w14:paraId="6FDE3B23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根据国家税务总局及交通运输部对网络货运平台合规的监管要求，平台需将</w:t>
      </w:r>
      <w:r>
        <w:rPr>
          <w:rFonts w:hint="eastAsia"/>
          <w:b w:val="0"/>
          <w:i w:val="0"/>
          <w:strike w:val="0"/>
          <w:color w:val="000000"/>
          <w:spacing w:val="0"/>
          <w:u w:val="none"/>
          <w:lang w:val="en-US" w:eastAsia="zh-CN"/>
        </w:rPr>
        <w:t>税源地为安徽运八的</w:t>
      </w: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运单相关数据分阶段上报至省级网络货运信息监测系统（安徽运八）</w:t>
      </w:r>
      <w:r>
        <w:rPr>
          <w:rFonts w:hint="eastAsia"/>
          <w:b w:val="0"/>
          <w:i w:val="0"/>
          <w:strike w:val="0"/>
          <w:color w:val="000000"/>
          <w:spacing w:val="0"/>
          <w:u w:val="none"/>
          <w:lang w:eastAsia="zh-CN"/>
        </w:rPr>
        <w:t>，</w:t>
      </w:r>
      <w:r>
        <w:rPr>
          <w:rFonts w:hint="eastAsia"/>
          <w:b w:val="0"/>
          <w:i w:val="0"/>
          <w:strike w:val="0"/>
          <w:color w:val="000000"/>
          <w:spacing w:val="0"/>
          <w:u w:val="none"/>
          <w:lang w:val="en-US" w:eastAsia="zh-CN"/>
        </w:rPr>
        <w:t>其他税源地不走此逻辑</w:t>
      </w: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。上报分为三个阶段：装货完成上报、打款完成上报、开票完成上报，以及ETC发票上传。本功能模块旨在实现上报流程的自动化管理，并提供异常监控与向平台发起申诉的能力。</w:t>
      </w:r>
    </w:p>
    <w:p w14:paraId="1F20A672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drawing>
          <wp:inline distT="0" distB="0" distL="0" distR="0">
            <wp:extent cx="5278120" cy="248221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8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F2798">
      <w:pPr>
        <w:pStyle w:val="3"/>
        <w:rPr>
          <w:sz w:val="28"/>
        </w:rPr>
      </w:pPr>
      <w:r>
        <w:rPr>
          <w:sz w:val="28"/>
        </w:rPr>
        <w:t>二、功能说明</w:t>
      </w:r>
    </w:p>
    <w:p w14:paraId="46D7B305">
      <w:pPr>
        <w:pStyle w:val="4"/>
        <w:rPr>
          <w:sz w:val="26"/>
        </w:rPr>
      </w:pPr>
      <w:r>
        <w:rPr>
          <w:sz w:val="26"/>
        </w:rPr>
        <w:t>2.1 上报运单看板</w:t>
      </w:r>
    </w:p>
    <w:p w14:paraId="0B7EA175">
      <w:pPr>
        <w:pBdr>
          <w:bottom w:val="none" w:color="auto" w:sz="0" w:space="0"/>
        </w:pBdr>
      </w:pPr>
      <w:r>
        <w:drawing>
          <wp:inline distT="0" distB="0" distL="0" distR="0">
            <wp:extent cx="5278120" cy="1617345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descrip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1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F6CFB">
      <w:r>
        <w:rPr>
          <w:rFonts w:hint="eastAsia"/>
          <w:b/>
        </w:rPr>
        <w:t xml:space="preserve">· </w:t>
      </w:r>
      <w:r>
        <w:rPr>
          <w:b/>
        </w:rPr>
        <w:t>功能描述</w:t>
      </w:r>
    </w:p>
    <w:p w14:paraId="04B778A0">
      <w:r>
        <w:t>上报运单看板是系统的首页，集中展示所有上报阶段运单的汇总状态，支持按条件筛选、查看详情和发起申诉。</w:t>
      </w:r>
    </w:p>
    <w:p w14:paraId="06A2D4FA">
      <w:pPr>
        <w:rPr>
          <w:rFonts w:hint="eastAsia"/>
          <w:b/>
          <w:i w:val="0"/>
          <w:strike w:val="0"/>
          <w:color w:val="000000"/>
          <w:spacing w:val="0"/>
          <w:u w:val="none"/>
        </w:rPr>
      </w:pPr>
      <w:r>
        <w:rPr>
          <w:rFonts w:hint="eastAsia"/>
          <w:b/>
        </w:rPr>
        <w:t xml:space="preserve">· </w:t>
      </w:r>
      <w:r>
        <w:rPr>
          <w:b/>
        </w:rPr>
        <w:t>查询条</w:t>
      </w:r>
      <w:r>
        <w:rPr>
          <w:rFonts w:hint="eastAsia"/>
          <w:b/>
          <w:i w:val="0"/>
          <w:strike w:val="0"/>
          <w:color w:val="000000"/>
          <w:spacing w:val="0"/>
          <w:u w:val="none"/>
        </w:rPr>
        <w:t>件</w:t>
      </w:r>
    </w:p>
    <w:p w14:paraId="5231E297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运单号/托运单号/货源单号：模糊搜索</w:t>
      </w:r>
    </w:p>
    <w:p w14:paraId="562E45B8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上报阶段：全部 / 第一次上报 / 第二次上报 / 第三次上报</w:t>
      </w:r>
    </w:p>
    <w:p w14:paraId="502A3324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核验状态：全部 / 异常 / 通过</w:t>
      </w:r>
    </w:p>
    <w:p w14:paraId="3838A406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申诉状态：全部 / 未申诉 / 申诉中 / 申诉通过 / 申诉驳回</w:t>
      </w:r>
    </w:p>
    <w:p w14:paraId="1E01A9F2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操作按钮：查询、重置、导出</w:t>
      </w:r>
    </w:p>
    <w:p w14:paraId="2870691C">
      <w:pPr>
        <w:rPr>
          <w:b/>
        </w:rPr>
      </w:pPr>
      <w:r>
        <w:rPr>
          <w:rFonts w:hint="eastAsia"/>
          <w:b/>
        </w:rPr>
        <w:t xml:space="preserve">· </w:t>
      </w:r>
      <w:r>
        <w:rPr>
          <w:b/>
        </w:rPr>
        <w:t>列表字段</w:t>
      </w:r>
    </w:p>
    <w:p w14:paraId="150C39E9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货源单号、运单号、托运单号、车牌号、司机姓名、</w:t>
      </w:r>
    </w:p>
    <w:p w14:paraId="16C2F4C7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托运方名称、上报阶段、核验状态、申诉状态、异常项、</w:t>
      </w:r>
    </w:p>
    <w:p w14:paraId="26B3CE97">
      <w:pPr>
        <w:ind w:left="0"/>
        <w:rPr>
          <w:rFonts w:hint="eastAsia"/>
          <w:b w:val="0"/>
          <w:i w:val="0"/>
          <w:strike w:val="0"/>
          <w:color w:val="000000"/>
          <w:spacing w:val="0"/>
          <w:u w:val="none"/>
        </w:rPr>
      </w:pPr>
      <w:r>
        <w:rPr>
          <w:rFonts w:hint="eastAsia"/>
          <w:b w:val="0"/>
          <w:i w:val="0"/>
          <w:strike w:val="0"/>
          <w:color w:val="000000"/>
          <w:spacing w:val="0"/>
          <w:u w:val="none"/>
        </w:rPr>
        <w:t>货物名称、合同金额、最新核验时间、操作（申诉/进度/详情）</w:t>
      </w:r>
    </w:p>
    <w:p w14:paraId="230B1CB0">
      <w:pPr>
        <w:pStyle w:val="4"/>
        <w:rPr>
          <w:sz w:val="26"/>
        </w:rPr>
      </w:pPr>
      <w:r>
        <w:rPr>
          <w:sz w:val="26"/>
        </w:rPr>
        <w:t>2.</w:t>
      </w:r>
      <w:r>
        <w:rPr>
          <w:rFonts w:hint="eastAsia"/>
          <w:sz w:val="26"/>
        </w:rPr>
        <w:t>2</w:t>
      </w:r>
      <w:r>
        <w:rPr>
          <w:sz w:val="26"/>
        </w:rPr>
        <w:t xml:space="preserve"> 第一次上报（装货完成）</w:t>
      </w:r>
    </w:p>
    <w:p w14:paraId="67247704">
      <w:r>
        <w:drawing>
          <wp:inline distT="0" distB="0" distL="0" distR="0">
            <wp:extent cx="5278120" cy="1290320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descrip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9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75003">
      <w:pPr>
        <w:pBdr>
          <w:bottom w:val="none" w:color="auto" w:sz="0" w:space="0"/>
        </w:pBdr>
      </w:pPr>
      <w:r>
        <w:drawing>
          <wp:inline distT="0" distB="0" distL="0" distR="0">
            <wp:extent cx="3150870" cy="6320155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1396" cy="632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93555">
      <w:r>
        <w:rPr>
          <w:b/>
        </w:rPr>
        <w:t>功能描述</w:t>
      </w:r>
    </w:p>
    <w:p w14:paraId="37BCE19B">
      <w:r>
        <w:t>第一次上报在运单装货完成后自动触发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仅上传货源税源地为安徽运八的运单，其他税源地无需上传）</w:t>
      </w:r>
      <w:r>
        <w:t>，上报数据包含运单信息、托运方信息、收货方信息、司机信息、车辆信息、货物信息、保险信息等。</w:t>
      </w:r>
      <w:bookmarkStart w:id="0" w:name="_GoBack"/>
      <w:bookmarkEnd w:id="0"/>
    </w:p>
    <w:p w14:paraId="506CC6AB">
      <w:pPr>
        <w:rPr>
          <w:b/>
        </w:rPr>
      </w:pPr>
      <w:r>
        <w:rPr>
          <w:b/>
        </w:rPr>
        <w:t>特殊说明</w:t>
      </w:r>
    </w:p>
    <w:p w14:paraId="70FD3FFE">
      <w:r>
        <w:t>• 上报完成后，若安徽运八平台核验通过，系统会自动调用“修改第一次上报部分字段”接口，更新装货后可能发生变化的字段（如实际里程），无需人工干预。</w:t>
      </w:r>
    </w:p>
    <w:p w14:paraId="2EB4F4C4">
      <w:r>
        <w:t>• 若上报失败，系统</w:t>
      </w:r>
      <w:r>
        <w:rPr>
          <w:rFonts w:hint="eastAsia"/>
        </w:rPr>
        <w:t>需要</w:t>
      </w:r>
      <w:r>
        <w:t>自动重试（最多3次），若仍失败则通过</w:t>
      </w:r>
      <w:r>
        <w:rPr>
          <w:rFonts w:hint="eastAsia"/>
        </w:rPr>
        <w:t>系统站内信或者其他方式</w:t>
      </w:r>
      <w:r>
        <w:t>通知运营人员。</w:t>
      </w:r>
    </w:p>
    <w:p w14:paraId="1662AACB">
      <w:r>
        <w:t>• 第一次上传是后续两次上传的基础，若失败会导致后续上报无法进行，需重点关注。</w:t>
      </w:r>
    </w:p>
    <w:p w14:paraId="3779F59B"/>
    <w:p w14:paraId="6011A576">
      <w:r>
        <w:rPr>
          <w:b/>
        </w:rPr>
        <w:t>上报状态规则</w:t>
      </w:r>
    </w:p>
    <w:tbl>
      <w:tblPr>
        <w:tblStyle w:val="18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 w14:paraId="0EDAE8E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BFBFBF"/>
          </w:tcPr>
          <w:p w14:paraId="3C2CDB4C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状态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BFBFBF"/>
          </w:tcPr>
          <w:p w14:paraId="48F46C31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说明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BFBFBF"/>
          </w:tcPr>
          <w:p w14:paraId="41FDD3F0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操作按钮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BFBFBF"/>
          </w:tcPr>
          <w:p w14:paraId="2CE28296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标签颜色</w:t>
            </w:r>
          </w:p>
        </w:tc>
      </w:tr>
      <w:tr w14:paraId="50137D6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7A991A57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上传中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1BA8E16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数据正在上报中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5584876F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无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2551FB7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蓝色</w:t>
            </w:r>
          </w:p>
        </w:tc>
      </w:tr>
      <w:tr w14:paraId="31D54B0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746F0AD7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已上传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3CF43128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上报成功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2E11128B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无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4B6F24B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绿色</w:t>
            </w:r>
          </w:p>
        </w:tc>
      </w:tr>
      <w:tr w14:paraId="4D846BF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28B1E94D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上传失败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4623BC52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上报超时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5E54D787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手动上传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48E2BB09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红色</w:t>
            </w:r>
          </w:p>
        </w:tc>
      </w:tr>
      <w:tr w14:paraId="389C0F0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2799DCF6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异常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538FACA6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数据校验不通过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13B51153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详情查看异常原因</w:t>
            </w:r>
          </w:p>
        </w:tc>
        <w:tc>
          <w:tcPr>
            <w:tcW w:w="2160" w:type="dxa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</w:tcPr>
          <w:p w14:paraId="0E9FCB5A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橙色</w:t>
            </w:r>
          </w:p>
        </w:tc>
      </w:tr>
    </w:tbl>
    <w:p w14:paraId="5F57D1C5"/>
    <w:p w14:paraId="11747B22">
      <w:r>
        <w:rPr>
          <w:b/>
        </w:rPr>
        <w:t>列表字段</w:t>
      </w:r>
    </w:p>
    <w:p w14:paraId="7D7588E8">
      <w:r>
        <w:t>货源单号、运单号、托运单号、车牌号、司机姓名、托运方名称、业务类型、货物名称、装货地址、卸货地址、运输里程、合同编号、上报状态、操作（详情）</w:t>
      </w:r>
    </w:p>
    <w:p w14:paraId="435F4542"/>
    <w:p w14:paraId="15868AB5">
      <w:r>
        <w:rPr>
          <w:b/>
        </w:rPr>
        <w:t>详情弹窗字段分组</w:t>
      </w:r>
    </w:p>
    <w:p w14:paraId="5F367143">
      <w:r>
        <w:t>详情弹窗按以下子对象分组展示：</w:t>
      </w:r>
    </w:p>
    <w:p w14:paraId="6232820F">
      <w:pPr>
        <w:rPr>
          <w:b w:val="0"/>
        </w:rPr>
      </w:pPr>
      <w:r>
        <w:rPr>
          <w:b/>
        </w:rPr>
        <w:t>建单信息（必选，13字段）：</w:t>
      </w:r>
      <w:r>
        <w:rPr>
          <w:b w:val="0"/>
        </w:rPr>
        <w:t>上游企业委托运输单号、本运单单号、托运人建单时间、网络货运经营者名称、统一社会信用代码、道路运输经营许可证编号、业务类型代码、运输组货方式代码、司机接单时间、司机起运时间、承运合同编号、委托合同编号（可选）、运输里程（可选）</w:t>
      </w:r>
    </w:p>
    <w:p w14:paraId="6938A554">
      <w:pPr>
        <w:rPr>
          <w:b w:val="0"/>
        </w:rPr>
      </w:pPr>
      <w:r>
        <w:rPr>
          <w:b/>
        </w:rPr>
        <w:t>托运人信息（必选，7字段）：</w:t>
      </w:r>
      <w:r>
        <w:rPr>
          <w:b w:val="0"/>
        </w:rPr>
        <w:t>托运人名称、托运人统一社会信用代码、框架合同编号（可选）、装货地点、装货经度、装货纬度、装货地行政区划代码</w:t>
      </w:r>
    </w:p>
    <w:p w14:paraId="7B0DB317">
      <w:pPr>
        <w:rPr>
          <w:b w:val="0"/>
        </w:rPr>
      </w:pPr>
      <w:r>
        <w:rPr>
          <w:b/>
        </w:rPr>
        <w:t>收货方信息（必选，5字段）：</w:t>
      </w:r>
      <w:r>
        <w:rPr>
          <w:b w:val="0"/>
        </w:rPr>
        <w:t>收货方名称、收货方统一社会信用代码/身份证号、收货地点、收货经度、收货纬度</w:t>
      </w:r>
    </w:p>
    <w:p w14:paraId="4D2CCBD8">
      <w:pPr>
        <w:rPr>
          <w:b w:val="0"/>
        </w:rPr>
      </w:pPr>
      <w:r>
        <w:rPr>
          <w:b/>
        </w:rPr>
        <w:t>司机信息（必选，13字段）：</w:t>
      </w:r>
      <w:r>
        <w:rPr>
          <w:b w:val="0"/>
        </w:rPr>
        <w:t>司机姓名、身份证号、驾驶证号、驾驶证发证机关、从业资格证号、从业资格证有效期起、从业资格证有效期至、税务登记证号、手机号、驾驶证有效期起、驾驶证有效期至、准驾车型、省份代码</w:t>
      </w:r>
    </w:p>
    <w:p w14:paraId="052DDD49">
      <w:pPr>
        <w:rPr>
          <w:b w:val="0"/>
        </w:rPr>
      </w:pPr>
      <w:r>
        <w:rPr>
          <w:b/>
        </w:rPr>
        <w:t>接单车辆信息（必选，19字段）：</w:t>
      </w:r>
      <w:r>
        <w:rPr>
          <w:b w:val="0"/>
        </w:rPr>
        <w:t>车牌号、车牌颜色编码、号牌种类、车辆识别代号VIN)、车主姓名/单位名称、车主证件号、使用性质、车辆类型、能源类型、注册日期、发证日期、发证机关、核定载质量吨)、总质量吨)、道路运输证号、挂车牌照号（可选）、行驶证档案编号（可选）、道路运输证有效期起（可选）、道路运输证有效期至（可选）</w:t>
      </w:r>
    </w:p>
    <w:p w14:paraId="63F0F066">
      <w:pPr>
        <w:rPr>
          <w:b w:val="0"/>
        </w:rPr>
      </w:pPr>
      <w:r>
        <w:rPr>
          <w:b/>
        </w:rPr>
        <w:t>货物信息（必选，可多条，4字段）：</w:t>
      </w:r>
      <w:r>
        <w:rPr>
          <w:b w:val="0"/>
        </w:rPr>
        <w:t>货物名称、货物类型代码、货物量、计量单位</w:t>
      </w:r>
    </w:p>
    <w:p w14:paraId="6A77407F">
      <w:pPr>
        <w:rPr>
          <w:b w:val="0"/>
        </w:rPr>
      </w:pPr>
      <w:r>
        <w:rPr>
          <w:b/>
        </w:rPr>
        <w:t>保险信息（可选，2字段）：</w:t>
      </w:r>
      <w:r>
        <w:rPr>
          <w:b w:val="0"/>
        </w:rPr>
        <w:t>保险单号、保险公司名称</w:t>
      </w:r>
    </w:p>
    <w:p w14:paraId="6662559D">
      <w:r>
        <w:rPr>
          <w:b/>
        </w:rPr>
        <w:t>异常信息：</w:t>
      </w:r>
      <w:r>
        <w:t>核验状态、异常原因、异常时间、处理状态</w:t>
      </w:r>
    </w:p>
    <w:p w14:paraId="4F1B25A6">
      <w:pPr>
        <w:pStyle w:val="4"/>
        <w:rPr>
          <w:sz w:val="26"/>
        </w:rPr>
      </w:pPr>
      <w:r>
        <w:rPr>
          <w:sz w:val="26"/>
        </w:rPr>
        <w:t>2.3 第二次上报（打款完成）</w:t>
      </w:r>
    </w:p>
    <w:p w14:paraId="18750243">
      <w:r>
        <w:drawing>
          <wp:inline distT="0" distB="0" distL="0" distR="0">
            <wp:extent cx="5278120" cy="1240790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4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D7135">
      <w:r>
        <w:drawing>
          <wp:inline distT="0" distB="0" distL="0" distR="0">
            <wp:extent cx="3636010" cy="5717540"/>
            <wp:effectExtent l="0" t="0" r="0" b="0"/>
            <wp:docPr id="1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6447" cy="571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30BD4">
      <w:r>
        <w:rPr>
          <w:b/>
        </w:rPr>
        <w:t>功能描述</w:t>
      </w:r>
    </w:p>
    <w:p w14:paraId="502A564B">
      <w:r>
        <w:t>第二次上报在运费支付完成后系统自动触发，上报数据包含运抵信息、货主资金流水、承运人资金流水、承运合同信息、委托合同信息、车辆轨迹信息等。</w:t>
      </w:r>
    </w:p>
    <w:p w14:paraId="5AB6574F">
      <w:r>
        <w:rPr>
          <w:b/>
        </w:rPr>
        <w:t>特殊说明</w:t>
      </w:r>
      <w:r>
        <w:rPr>
          <w:i w:val="0"/>
          <w:strike w:val="0"/>
          <w:spacing w:val="0"/>
          <w:u w:val="none"/>
        </w:rPr>
        <w:tab/>
      </w:r>
    </w:p>
    <w:p w14:paraId="4A923DC2">
      <w:pPr>
        <w:snapToGrid/>
        <w:spacing w:line="240" w:lineRule="auto"/>
      </w:pPr>
      <w:r>
        <w:t xml:space="preserve">• </w:t>
      </w:r>
      <w:r>
        <w:rPr>
          <w:i w:val="0"/>
          <w:strike w:val="0"/>
          <w:spacing w:val="0"/>
          <w:u w:val="none"/>
        </w:rPr>
        <w:t>第二次上传核验项最多，是最容易出现异常的环节，需要重点关注。</w:t>
      </w:r>
      <w:r>
        <w:rPr>
          <w:i w:val="0"/>
          <w:strike w:val="0"/>
          <w:spacing w:val="0"/>
          <w:u w:val="none"/>
        </w:rPr>
        <w:tab/>
      </w:r>
    </w:p>
    <w:p w14:paraId="51FF6A29">
      <w:pPr>
        <w:snapToGrid/>
        <w:spacing w:line="240" w:lineRule="auto"/>
      </w:pPr>
      <w:r>
        <w:t xml:space="preserve">• </w:t>
      </w:r>
      <w:r>
        <w:rPr>
          <w:i w:val="0"/>
          <w:strike w:val="0"/>
          <w:spacing w:val="0"/>
          <w:u w:val="none"/>
        </w:rPr>
        <w:t>若资金流水单号重复，会导致上报失败，系统会自动检查并提示。</w:t>
      </w:r>
      <w:r>
        <w:rPr>
          <w:i w:val="0"/>
          <w:strike w:val="0"/>
          <w:spacing w:val="0"/>
          <w:u w:val="none"/>
        </w:rPr>
        <w:tab/>
      </w:r>
    </w:p>
    <w:p w14:paraId="1B636E91">
      <w:pPr>
        <w:snapToGrid/>
        <w:spacing w:line="240" w:lineRule="auto"/>
      </w:pPr>
      <w:r>
        <w:t xml:space="preserve">• </w:t>
      </w:r>
      <w:r>
        <w:rPr>
          <w:i w:val="0"/>
          <w:strike w:val="0"/>
          <w:spacing w:val="0"/>
          <w:u w:val="none"/>
        </w:rPr>
        <w:t>车辆轨迹点位数量不足或偏差过大，会导致"车辆轨迹合规"核验异常，可通过"补传轨迹"功能补充轨迹数据。</w:t>
      </w:r>
      <w:r>
        <w:rPr>
          <w:i w:val="0"/>
          <w:strike w:val="0"/>
          <w:spacing w:val="0"/>
          <w:u w:val="none"/>
        </w:rPr>
        <w:tab/>
      </w:r>
    </w:p>
    <w:p w14:paraId="0B661EA5">
      <w:r>
        <w:t xml:space="preserve">• </w:t>
      </w:r>
      <w:r>
        <w:rPr>
          <w:i w:val="0"/>
          <w:strike w:val="0"/>
          <w:spacing w:val="0"/>
          <w:u w:val="none"/>
        </w:rPr>
        <w:t>若上报失败，系统会自动重试（最多3次），若仍失败则告警通知运营人员。</w:t>
      </w:r>
      <w:r>
        <w:rPr>
          <w:i w:val="0"/>
          <w:strike w:val="0"/>
          <w:spacing w:val="0"/>
          <w:u w:val="none"/>
        </w:rPr>
        <w:tab/>
      </w:r>
    </w:p>
    <w:p w14:paraId="3FE527FC">
      <w:r>
        <w:rPr>
          <w:b/>
        </w:rPr>
        <w:t>列表字段</w:t>
      </w:r>
    </w:p>
    <w:p w14:paraId="41D16FAA">
      <w:r>
        <w:t>货源单号、运单号、托运单号、车牌号、司机姓名、托运方名称、承运运费、总金额、付款方式、付款时间、收款人、收款账号、收款账号类型、核验状态、异常项、上报状态、操作（上报/详情）</w:t>
      </w:r>
    </w:p>
    <w:p w14:paraId="42707C34">
      <w:r>
        <w:rPr>
          <w:b/>
        </w:rPr>
        <w:t>收款账号类型说明</w:t>
      </w:r>
    </w:p>
    <w:p w14:paraId="30868A9D">
      <w:r>
        <w:t>• 个人账户：司机个人银行卡账号，标签为蓝色</w:t>
      </w:r>
    </w:p>
    <w:p w14:paraId="615A0E15">
      <w:r>
        <w:t>• 对公账户：企业银行账号，标签为绿色</w:t>
      </w:r>
    </w:p>
    <w:p w14:paraId="77A96A5F">
      <w:r>
        <w:rPr>
          <w:b/>
        </w:rPr>
        <w:t>详情弹窗字段分组</w:t>
      </w:r>
    </w:p>
    <w:p w14:paraId="4764F900">
      <w:r>
        <w:t>（1）运单信息（必选）：同第一次上报</w:t>
      </w:r>
    </w:p>
    <w:p w14:paraId="32EE1EDA">
      <w:r>
        <w:t>（2）托运方信息（必选）：同第一次上报</w:t>
      </w:r>
    </w:p>
    <w:p w14:paraId="43EFC486">
      <w:r>
        <w:t>（3）收货方信息（必选）：同第一次上报</w:t>
      </w:r>
    </w:p>
    <w:p w14:paraId="635E1BD5">
      <w:r>
        <w:t>（4）资金流水信息（必选）：支付金额、支付方式、支付时间、付款方名称、收款方名称、收款人、收款账号、收款账号类型、流水号、支付状态</w:t>
      </w:r>
    </w:p>
    <w:p w14:paraId="37311D2D">
      <w:r>
        <w:t>（5）车辆轨迹信息（必选，可多条，2~2000个点）：定位类型、定位时间、定位地点、经度、纬度、轨迹类型</w:t>
      </w:r>
    </w:p>
    <w:p w14:paraId="6B0BC92B">
      <w:r>
        <w:t>（6）异常信息：核验状态、异常原因、异常时间、处理状态</w:t>
      </w:r>
    </w:p>
    <w:p w14:paraId="371BB399"/>
    <w:p w14:paraId="5B5EF369">
      <w:pPr>
        <w:rPr>
          <w:b/>
        </w:rPr>
      </w:pPr>
      <w:r>
        <w:rPr>
          <w:b/>
        </w:rPr>
        <w:t>核验内容（</w:t>
      </w:r>
      <w:r>
        <w:rPr>
          <w:rFonts w:hint="eastAsia"/>
          <w:b/>
        </w:rPr>
        <w:t>监管</w:t>
      </w:r>
      <w:r>
        <w:rPr>
          <w:b/>
        </w:rPr>
        <w:t>平台自动核验，异常时可发起申诉）</w:t>
      </w:r>
    </w:p>
    <w:tbl>
      <w:tblPr>
        <w:tblStyle w:val="17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6150"/>
      </w:tblGrid>
      <w:tr w14:paraId="7F8E347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shd w:val="clear" w:color="auto" w:fill="D8D8D8"/>
            <w:vAlign w:val="center"/>
          </w:tcPr>
          <w:p w14:paraId="32CD95F7">
            <w:pPr>
              <w:snapToGrid/>
              <w:spacing w:before="0" w:after="0" w:line="240" w:lineRule="auto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核验项</w:t>
            </w:r>
          </w:p>
        </w:tc>
        <w:tc>
          <w:tcPr>
            <w:tcW w:w="6150" w:type="dxa"/>
            <w:shd w:val="clear" w:color="auto" w:fill="D8D8D8"/>
            <w:vAlign w:val="center"/>
          </w:tcPr>
          <w:p w14:paraId="1506BEC6">
            <w:pPr>
              <w:snapToGrid/>
              <w:spacing w:before="0" w:after="0" w:line="240" w:lineRule="auto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说明</w:t>
            </w:r>
          </w:p>
        </w:tc>
      </w:tr>
      <w:tr w14:paraId="5269D50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7C4DA00A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运单重复核验</w:t>
            </w:r>
          </w:p>
        </w:tc>
        <w:tc>
          <w:tcPr>
            <w:tcW w:w="6150" w:type="dxa"/>
            <w:vAlign w:val="bottom"/>
          </w:tcPr>
          <w:p w14:paraId="4A330649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检查同一运单是否重复上报</w:t>
            </w:r>
          </w:p>
        </w:tc>
      </w:tr>
      <w:tr w14:paraId="3D4E438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0E9017E6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车辆资质核验</w:t>
            </w:r>
          </w:p>
        </w:tc>
        <w:tc>
          <w:tcPr>
            <w:tcW w:w="6150" w:type="dxa"/>
            <w:vAlign w:val="bottom"/>
          </w:tcPr>
          <w:p w14:paraId="17D1BEF2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检查车辆道路运输证是否在有效期内</w:t>
            </w:r>
          </w:p>
        </w:tc>
      </w:tr>
      <w:tr w14:paraId="18D5488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6B0FC663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司机资质核验</w:t>
            </w:r>
          </w:p>
        </w:tc>
        <w:tc>
          <w:tcPr>
            <w:tcW w:w="6150" w:type="dxa"/>
            <w:vAlign w:val="bottom"/>
          </w:tcPr>
          <w:p w14:paraId="05111A52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检查司机从业资格证是否在有效期内</w:t>
            </w:r>
          </w:p>
        </w:tc>
      </w:tr>
      <w:tr w14:paraId="6866AE6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04A6FE75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集中支付核验</w:t>
            </w:r>
          </w:p>
        </w:tc>
        <w:tc>
          <w:tcPr>
            <w:tcW w:w="6150" w:type="dxa"/>
            <w:vAlign w:val="bottom"/>
          </w:tcPr>
          <w:p w14:paraId="05FABF87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检查资金流水是否通过</w:t>
            </w:r>
            <w:r>
              <w:rPr>
                <w:rFonts w:hint="eastAsia"/>
                <w:i w:val="0"/>
                <w:strike w:val="0"/>
                <w:color w:val="000000"/>
                <w:spacing w:val="0"/>
                <w:sz w:val="20"/>
                <w:u w:val="none"/>
              </w:rPr>
              <w:t>网货</w:t>
            </w: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平台集中支付</w:t>
            </w:r>
          </w:p>
        </w:tc>
      </w:tr>
      <w:tr w14:paraId="7A56B76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21A21258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资金流水核验</w:t>
            </w:r>
          </w:p>
        </w:tc>
        <w:tc>
          <w:tcPr>
            <w:tcW w:w="6150" w:type="dxa"/>
            <w:vAlign w:val="bottom"/>
          </w:tcPr>
          <w:p w14:paraId="23547459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检查资金流水单号是否重复、金额是否匹配</w:t>
            </w:r>
          </w:p>
        </w:tc>
      </w:tr>
      <w:tr w14:paraId="521F26E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61EA6D30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合同核验</w:t>
            </w:r>
          </w:p>
        </w:tc>
        <w:tc>
          <w:tcPr>
            <w:tcW w:w="6150" w:type="dxa"/>
            <w:vAlign w:val="bottom"/>
          </w:tcPr>
          <w:p w14:paraId="6CE86CA5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检查运输合同和委托合同是否有效</w:t>
            </w:r>
          </w:p>
        </w:tc>
      </w:tr>
      <w:tr w14:paraId="5994B34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70" w:type="dxa"/>
            <w:vAlign w:val="bottom"/>
          </w:tcPr>
          <w:p w14:paraId="3B87F63A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车辆轨迹合规核验</w:t>
            </w:r>
          </w:p>
        </w:tc>
        <w:tc>
          <w:tcPr>
            <w:tcW w:w="6150" w:type="dxa"/>
            <w:vAlign w:val="bottom"/>
          </w:tcPr>
          <w:p w14:paraId="2150E37A">
            <w:pPr>
              <w:snapToGrid/>
              <w:spacing w:before="0" w:after="0" w:line="240" w:lineRule="auto"/>
              <w:jc w:val="left"/>
              <w:rPr>
                <w:sz w:val="20"/>
              </w:rPr>
            </w:pPr>
            <w:r>
              <w:rPr>
                <w:i w:val="0"/>
                <w:strike w:val="0"/>
                <w:color w:val="000000"/>
                <w:spacing w:val="0"/>
                <w:sz w:val="20"/>
                <w:u w:val="none"/>
              </w:rPr>
              <w:t>检查车辆轨迹是否真实、与运单路线是否匹配</w:t>
            </w:r>
          </w:p>
        </w:tc>
      </w:tr>
    </w:tbl>
    <w:p w14:paraId="060AE909"/>
    <w:p w14:paraId="07D21418">
      <w:pPr>
        <w:pStyle w:val="4"/>
        <w:rPr>
          <w:sz w:val="26"/>
        </w:rPr>
      </w:pPr>
      <w:r>
        <w:rPr>
          <w:sz w:val="26"/>
        </w:rPr>
        <w:t>2.</w:t>
      </w:r>
      <w:r>
        <w:rPr>
          <w:rFonts w:hint="eastAsia"/>
          <w:sz w:val="26"/>
        </w:rPr>
        <w:t>4</w:t>
      </w:r>
      <w:r>
        <w:rPr>
          <w:sz w:val="26"/>
        </w:rPr>
        <w:t xml:space="preserve"> 第</w:t>
      </w:r>
      <w:r>
        <w:rPr>
          <w:rFonts w:hint="eastAsia"/>
          <w:sz w:val="26"/>
        </w:rPr>
        <w:t>三</w:t>
      </w:r>
      <w:r>
        <w:rPr>
          <w:sz w:val="26"/>
        </w:rPr>
        <w:t>次上报（</w:t>
      </w:r>
      <w:r>
        <w:rPr>
          <w:rFonts w:hint="eastAsia"/>
          <w:sz w:val="26"/>
        </w:rPr>
        <w:t>开票</w:t>
      </w:r>
      <w:r>
        <w:rPr>
          <w:sz w:val="26"/>
        </w:rPr>
        <w:t>完成）</w:t>
      </w:r>
    </w:p>
    <w:p w14:paraId="2B6279E7">
      <w:r>
        <w:drawing>
          <wp:inline distT="0" distB="0" distL="0" distR="0">
            <wp:extent cx="5278120" cy="1131570"/>
            <wp:effectExtent l="0" t="0" r="0" b="0"/>
            <wp:docPr id="2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1D964">
      <w:r>
        <w:drawing>
          <wp:inline distT="0" distB="0" distL="0" distR="0">
            <wp:extent cx="4838700" cy="5875655"/>
            <wp:effectExtent l="0" t="0" r="0" b="0"/>
            <wp:docPr id="2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descrip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8849" cy="587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767D9">
      <w:r>
        <w:rPr>
          <w:b/>
        </w:rPr>
        <w:t>功能描述</w:t>
      </w:r>
    </w:p>
    <w:p w14:paraId="0B21D21A">
      <w:r>
        <w:t>第三次上报在发票开具完成后触发，上报数据包含运单信息（托运单号数组）、发票信息、油气发票信息等。</w:t>
      </w:r>
    </w:p>
    <w:p w14:paraId="78687A88">
      <w:pPr>
        <w:rPr>
          <w:b/>
        </w:rPr>
      </w:pPr>
      <w:r>
        <w:rPr>
          <w:b/>
        </w:rPr>
        <w:t>特殊说明</w:t>
      </w:r>
    </w:p>
    <w:p w14:paraId="25875A0C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• 第三次上传需要在运单完成第二次上传后方可进行。</w:t>
      </w:r>
    </w:p>
    <w:p w14:paraId="17B36360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• 若增值税发票验证失败，会导致上报失败，需检查发票信息是否正确。</w:t>
      </w:r>
    </w:p>
    <w:p w14:paraId="4E647B1B">
      <w:r>
        <w:rPr>
          <w:i w:val="0"/>
          <w:strike w:val="0"/>
          <w:spacing w:val="0"/>
          <w:u w:val="none"/>
        </w:rPr>
        <w:t>• 若上报失败，系统会自动重试（最多3次），若仍失败则告警通知运营人员。</w:t>
      </w:r>
    </w:p>
    <w:p w14:paraId="36694262">
      <w:r>
        <w:rPr>
          <w:b/>
        </w:rPr>
        <w:t>列表字段</w:t>
      </w:r>
    </w:p>
    <w:p w14:paraId="4E099670">
      <w:r>
        <w:t>货源单号、运单号、托运单号、车牌号、司机姓名、托运方名称、发票号码、发票金额、开票日期、核验状态、异常原因、上报状态、操作（详情）</w:t>
      </w:r>
    </w:p>
    <w:p w14:paraId="3107EF5C">
      <w:r>
        <w:rPr>
          <w:b/>
        </w:rPr>
        <w:t>详情弹窗字段分组</w:t>
      </w:r>
    </w:p>
    <w:p w14:paraId="3B5B0ED7">
      <w:r>
        <w:rPr>
          <w:b/>
        </w:rPr>
        <w:t>（1）运单信息（必选）：</w:t>
      </w:r>
      <w:r>
        <w:t>同第一次上报</w:t>
      </w:r>
    </w:p>
    <w:p w14:paraId="54867740">
      <w:r>
        <w:rPr>
          <w:b/>
        </w:rPr>
        <w:t>（2）发票信息（必选，17字段）：</w:t>
      </w:r>
      <w:r>
        <w:t>托运单号数组、发票号码、发票代码号、发票金额价税合计)、开票日期、销售方名称、销售方纳税人识别号、销售方地址、销售方电话、销售方开户行、销售方银行账户、受票方名称、受票方纳税人识别号、受票方地址、受票方电话、受票方开户行、受票方银行卡号</w:t>
      </w:r>
    </w:p>
    <w:p w14:paraId="199019A7">
      <w:r>
        <w:rPr>
          <w:b/>
        </w:rPr>
        <w:t>（3）油气发票信息（可选，可多条）：</w:t>
      </w:r>
      <w:r>
        <w:t>油气托运单号、油气发票文件</w:t>
      </w:r>
    </w:p>
    <w:p w14:paraId="1697260C">
      <w:r>
        <w:rPr>
          <w:b/>
        </w:rPr>
        <w:t>（4）异常信息：</w:t>
      </w:r>
      <w:r>
        <w:t>核验状态、异常原因、异常时间、处理状态</w:t>
      </w:r>
    </w:p>
    <w:p w14:paraId="23AE7F91">
      <w:pPr>
        <w:pStyle w:val="4"/>
        <w:rPr>
          <w:rFonts w:hint="eastAsia"/>
          <w:sz w:val="26"/>
        </w:rPr>
      </w:pPr>
      <w:r>
        <w:rPr>
          <w:sz w:val="26"/>
        </w:rPr>
        <w:t>2.5 ETC发票上传</w:t>
      </w:r>
    </w:p>
    <w:p w14:paraId="62472EC3">
      <w:r>
        <w:drawing>
          <wp:inline distT="0" distB="0" distL="0" distR="0">
            <wp:extent cx="5278120" cy="1157605"/>
            <wp:effectExtent l="0" t="0" r="0" b="0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descrip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5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FD7F5">
      <w:r>
        <w:drawing>
          <wp:inline distT="0" distB="0" distL="0" distR="0">
            <wp:extent cx="4116705" cy="3580130"/>
            <wp:effectExtent l="0" t="0" r="0" b="0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descrip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7076" cy="35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55539">
      <w:r>
        <w:rPr>
          <w:b/>
        </w:rPr>
        <w:t>功能描述</w:t>
      </w:r>
    </w:p>
    <w:p w14:paraId="164E82A8">
      <w:r>
        <w:t>ETC发票上传用于上报车辆通行高速公路的ETC发票信息，作为税务抵扣凭证。</w:t>
      </w:r>
    </w:p>
    <w:p w14:paraId="3E0FBEAC">
      <w:r>
        <w:rPr>
          <w:b/>
        </w:rPr>
        <w:t>特殊说明</w:t>
      </w:r>
      <w:r>
        <w:rPr>
          <w:i w:val="0"/>
          <w:strike w:val="0"/>
          <w:spacing w:val="0"/>
          <w:u w:val="none"/>
        </w:rPr>
        <w:tab/>
      </w:r>
    </w:p>
    <w:p w14:paraId="1D77C204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• ETC发票上传需要在税务抵扣完成后进行，否则会导致上报失败。</w:t>
      </w:r>
      <w:r>
        <w:rPr>
          <w:i w:val="0"/>
          <w:strike w:val="0"/>
          <w:spacing w:val="0"/>
          <w:u w:val="none"/>
        </w:rPr>
        <w:tab/>
      </w:r>
    </w:p>
    <w:p w14:paraId="29364161">
      <w:pPr>
        <w:snapToGrid/>
        <w:spacing w:line="240" w:lineRule="auto"/>
      </w:pPr>
      <w:r>
        <w:rPr>
          <w:i w:val="0"/>
          <w:strike w:val="0"/>
          <w:spacing w:val="0"/>
          <w:u w:val="none"/>
        </w:rPr>
        <w:t>• 若ETC发票验证失败，会导致上报失败，需检查发票信息是否正确。</w:t>
      </w:r>
      <w:r>
        <w:rPr>
          <w:i w:val="0"/>
          <w:strike w:val="0"/>
          <w:spacing w:val="0"/>
          <w:u w:val="none"/>
        </w:rPr>
        <w:tab/>
      </w:r>
    </w:p>
    <w:p w14:paraId="41EBD82A">
      <w:r>
        <w:rPr>
          <w:i w:val="0"/>
          <w:strike w:val="0"/>
          <w:spacing w:val="0"/>
          <w:u w:val="none"/>
        </w:rPr>
        <w:t>• 若上报失败，系统会自动重试（最多3次），若仍失败则告警通知运营人员。</w:t>
      </w:r>
      <w:r>
        <w:rPr>
          <w:i w:val="0"/>
          <w:strike w:val="0"/>
          <w:spacing w:val="0"/>
          <w:u w:val="none"/>
        </w:rPr>
        <w:tab/>
      </w:r>
    </w:p>
    <w:p w14:paraId="1954EDC2">
      <w:r>
        <w:rPr>
          <w:b/>
        </w:rPr>
        <w:t>列表字段</w:t>
      </w:r>
    </w:p>
    <w:p w14:paraId="5C56E350">
      <w:r>
        <w:t>货源单号、运单号、托运单号、车牌号、司机姓名、托运方名称、ETC发票号码、发票金额、税率、上传状态、操作（详情）</w:t>
      </w:r>
    </w:p>
    <w:p w14:paraId="3E5E23D7">
      <w:r>
        <w:rPr>
          <w:b/>
        </w:rPr>
        <w:t>详情弹窗字段分组</w:t>
      </w:r>
    </w:p>
    <w:p w14:paraId="4C11D94D">
      <w:r>
        <w:rPr>
          <w:b/>
        </w:rPr>
        <w:t>（1）运单信息：</w:t>
      </w:r>
      <w:r>
        <w:t>运单号、货源单号、托运单号、车牌号、司机姓名、托运方名称、收货方名称</w:t>
      </w:r>
    </w:p>
    <w:p w14:paraId="13DFFFB6">
      <w:r>
        <w:rPr>
          <w:b/>
        </w:rPr>
        <w:t>（2）ETC发票信息（每张发票18字段）：</w:t>
      </w:r>
      <w:r>
        <w:t>ETC发票号码、ETC发票代码、开票时间、发票金额、税率、税额、价税合计、销售方名称、销售方税号、受票方名称、受票方税号、入口收费站、出口收费站、交易时间、交易金额、交易匹配时间、交易流水号、ETC发票文件</w:t>
      </w:r>
    </w:p>
    <w:p w14:paraId="03E7A6E1">
      <w:pPr>
        <w:pBdr>
          <w:bottom w:val="none" w:color="auto" w:sz="0" w:space="0"/>
        </w:pBdr>
      </w:pPr>
      <w:r>
        <w:rPr>
          <w:b/>
        </w:rPr>
        <w:t>（3）异常信息：</w:t>
      </w:r>
      <w:r>
        <w:t>核验状态、异常原因、异常时间、处理状态</w:t>
      </w:r>
    </w:p>
    <w:p w14:paraId="155AD2E7">
      <w:pPr>
        <w:pStyle w:val="4"/>
        <w:rPr>
          <w:sz w:val="26"/>
        </w:rPr>
      </w:pPr>
      <w:r>
        <w:rPr>
          <w:sz w:val="26"/>
        </w:rPr>
        <w:t>2.6 异常申诉功能</w:t>
      </w:r>
    </w:p>
    <w:p w14:paraId="40105830">
      <w:r>
        <w:drawing>
          <wp:inline distT="0" distB="0" distL="0" distR="0">
            <wp:extent cx="5278120" cy="1155065"/>
            <wp:effectExtent l="0" t="0" r="0" b="0"/>
            <wp:docPr id="3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5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731F2">
      <w:r>
        <w:drawing>
          <wp:inline distT="0" distB="0" distL="0" distR="0">
            <wp:extent cx="5278120" cy="6146165"/>
            <wp:effectExtent l="0" t="0" r="0" b="0"/>
            <wp:docPr id="3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descrip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14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653B1">
      <w:pPr>
        <w:ind w:left="0"/>
        <w:rPr>
          <w:rFonts w:hint="eastAsia"/>
          <w:i w:val="0"/>
          <w:strike w:val="0"/>
          <w:color w:val="000000"/>
          <w:u w:val="none"/>
        </w:rPr>
      </w:pPr>
      <w:r>
        <w:rPr>
          <w:rFonts w:hint="eastAsia"/>
          <w:i w:val="0"/>
          <w:strike w:val="0"/>
          <w:color w:val="000000"/>
          <w:u w:val="none"/>
        </w:rPr>
        <w:t xml:space="preserve">运单完成第二次上传后，安徽省管理平台自动进行 7 大类核验（车辆资质、司机资质、资金流水、合同、轨迹等）。如核验结果为异常时，运营人员可通过申诉机制向平台说明情况并申请重新核验。 </w:t>
      </w:r>
    </w:p>
    <w:p w14:paraId="4E7566FD">
      <w:pPr>
        <w:ind w:left="0"/>
        <w:rPr>
          <w:rFonts w:hint="eastAsia"/>
          <w:i w:val="0"/>
          <w:strike w:val="0"/>
          <w:color w:val="000000"/>
          <w:u w:val="none"/>
        </w:rPr>
      </w:pPr>
      <w:r>
        <w:rPr>
          <w:rFonts w:hint="eastAsia"/>
          <w:i w:val="0"/>
          <w:strike w:val="0"/>
          <w:color w:val="000000"/>
          <w:u w:val="none"/>
        </w:rPr>
        <w:t>本模块补全“异常查询 → 发起申诉 → 跟踪监管平台反馈 → 合规判断”的完整闭环。</w:t>
      </w:r>
    </w:p>
    <w:p w14:paraId="05C2CFB5">
      <w:r>
        <w:t>当上报数据被核验为异常时，运营人员可发起申诉，向安徽</w:t>
      </w:r>
      <w:r>
        <w:rPr>
          <w:rFonts w:hint="eastAsia"/>
        </w:rPr>
        <w:t>监管</w:t>
      </w:r>
      <w:r>
        <w:t>平台说明情况并申请重新核验。申诉记录管理页面展示所有申诉记录及省平台反馈结果。</w:t>
      </w:r>
    </w:p>
    <w:p w14:paraId="243CDB4F">
      <w:pPr>
        <w:pBdr>
          <w:bottom w:val="none" w:color="auto" w:sz="0" w:space="0"/>
        </w:pBdr>
      </w:pPr>
    </w:p>
    <w:p w14:paraId="500A8D0E">
      <w:r>
        <w:rPr>
          <w:b/>
        </w:rPr>
        <w:t>列表字段</w:t>
      </w:r>
    </w:p>
    <w:p w14:paraId="57B5CF6C">
      <w:r>
        <w:t>运单号、托运单号、车牌号、司机姓名、托运方名称、上报阶段、核验状态、异常项、申诉状态、申诉时间、申诉人、省平台反馈结果、</w:t>
      </w:r>
      <w:r>
        <w:rPr>
          <w:rFonts w:hint="eastAsia"/>
        </w:rPr>
        <w:t>监管</w:t>
      </w:r>
      <w:r>
        <w:t>平台反馈时间、操作（详情/重新申诉）</w:t>
      </w:r>
    </w:p>
    <w:p w14:paraId="28AE2ED4">
      <w:r>
        <w:rPr>
          <w:b/>
        </w:rPr>
        <w:t>详情弹窗字段分组</w:t>
      </w:r>
    </w:p>
    <w:p w14:paraId="5347BF6E">
      <w:r>
        <w:t>（1）申诉信息：申诉单号、上报阶段、异常项、申诉原因、申诉状态、申诉时间、申诉人、申诉附件</w:t>
      </w:r>
    </w:p>
    <w:p w14:paraId="4D039BB0">
      <w:r>
        <w:t>（2）运单信息：运单号、托运单号、车牌号、司机姓名、托运方名称</w:t>
      </w:r>
    </w:p>
    <w:p w14:paraId="6B2231E3">
      <w:r>
        <w:t>（3）异常信息：核验状态、异常原因、异常时间</w:t>
      </w:r>
    </w:p>
    <w:p w14:paraId="1A6E40C2">
      <w:r>
        <w:t>（4）省平台反馈信息：反馈结果、反馈时间、反馈意见</w:t>
      </w:r>
    </w:p>
    <w:p w14:paraId="536A0784">
      <w:r>
        <w:t>（5）处理记录：操作人、操作时间、操作类型、操作内容（时间线展示）</w:t>
      </w:r>
    </w:p>
    <w:p w14:paraId="50744E91">
      <w:r>
        <w:rPr>
          <w:b/>
        </w:rPr>
        <w:t>申诉复核说明</w:t>
      </w:r>
    </w:p>
    <w:p w14:paraId="3C3055C3">
      <w:r>
        <w:t>（注：申诉由安徽</w:t>
      </w:r>
      <w:r>
        <w:rPr>
          <w:rFonts w:hint="eastAsia"/>
        </w:rPr>
        <w:t>监管</w:t>
      </w:r>
      <w:r>
        <w:t>平台复核，非我方审核）</w:t>
      </w:r>
    </w:p>
    <w:p w14:paraId="2F7BC93C">
      <w:r>
        <w:t>（复核不通过时，可补充材料后重新发起申诉）</w:t>
      </w:r>
    </w:p>
    <w:p w14:paraId="64F23CB7">
      <w:pPr>
        <w:rPr>
          <w:b/>
        </w:rPr>
      </w:pPr>
      <w:r>
        <w:rPr>
          <w:b/>
        </w:rPr>
        <w:t>异常代码一览表</w:t>
      </w:r>
    </w:p>
    <w:p w14:paraId="1A5FA461">
      <w:r>
        <w:drawing>
          <wp:inline distT="0" distB="0" distL="0" distR="0">
            <wp:extent cx="5278120" cy="2597785"/>
            <wp:effectExtent l="0" t="0" r="0" b="0"/>
            <wp:docPr id="3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descrip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B4B88">
      <w:pPr>
        <w:pStyle w:val="4"/>
        <w:rPr>
          <w:sz w:val="26"/>
        </w:rPr>
      </w:pPr>
      <w:r>
        <w:rPr>
          <w:sz w:val="26"/>
        </w:rPr>
        <w:t>2.7 上报日志</w:t>
      </w:r>
    </w:p>
    <w:p w14:paraId="265CBD5B">
      <w:r>
        <w:drawing>
          <wp:inline distT="0" distB="0" distL="0" distR="0">
            <wp:extent cx="5278120" cy="1367790"/>
            <wp:effectExtent l="0" t="0" r="0" b="0"/>
            <wp:docPr id="4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descrip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6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77528">
      <w:r>
        <w:rPr>
          <w:b/>
        </w:rPr>
        <w:t>功能描述</w:t>
      </w:r>
    </w:p>
    <w:p w14:paraId="48BE0D26">
      <w:r>
        <w:t>上报日志记录所有上报接口的调用记录，用于问题排查和审计。</w:t>
      </w:r>
    </w:p>
    <w:p w14:paraId="71F7F0F1">
      <w:r>
        <w:rPr>
          <w:b/>
        </w:rPr>
        <w:t>查询条件</w:t>
      </w:r>
    </w:p>
    <w:p w14:paraId="75DD220E">
      <w:r>
        <w:t>• 运单号/托运单号/货源单号：模糊搜索</w:t>
      </w:r>
    </w:p>
    <w:p w14:paraId="377A3750">
      <w:r>
        <w:t>• 上报阶段：全部 / 第一次上报 / 第二次上报 / 第三次上报 / ETC上传</w:t>
      </w:r>
    </w:p>
    <w:p w14:paraId="1B1EE3D0">
      <w:r>
        <w:t>• 上报结果：全部 / 成功 / 失败</w:t>
      </w:r>
    </w:p>
    <w:p w14:paraId="2BDF957F">
      <w:r>
        <w:t>• 开始时间 ~ 结束时间：时间范围筛选</w:t>
      </w:r>
    </w:p>
    <w:p w14:paraId="75C59293">
      <w:r>
        <w:rPr>
          <w:b/>
        </w:rPr>
        <w:t>列表字段</w:t>
      </w:r>
    </w:p>
    <w:p w14:paraId="2E344C2B">
      <w:r>
        <w:t>序号、货源单号、运单号、托运单号、上报阶段、上报结果、接口URL、HTTP状态码、响应时间、上报时间、操作（</w:t>
      </w:r>
      <w:r>
        <w:rPr>
          <w:rFonts w:hint="eastAsia"/>
        </w:rPr>
        <w:t>弹窗</w:t>
      </w:r>
      <w:r>
        <w:t>详情查看完整请求/响应报文）</w:t>
      </w:r>
    </w:p>
    <w:p w14:paraId="11E4B83C">
      <w:pPr>
        <w:pStyle w:val="3"/>
        <w:rPr>
          <w:sz w:val="28"/>
        </w:rPr>
      </w:pPr>
      <w:r>
        <w:rPr>
          <w:sz w:val="28"/>
        </w:rPr>
        <w:t>三. 数据字段说明</w:t>
      </w:r>
    </w:p>
    <w:p w14:paraId="5D33569E">
      <w:r>
        <w:rPr>
          <w:b/>
        </w:rPr>
        <w:t>3.1 第一次上报字段（装货完成）</w:t>
      </w:r>
    </w:p>
    <w:p w14:paraId="21B81805">
      <w:r>
        <w:t>核心子对象及必选字段：</w:t>
      </w:r>
    </w:p>
    <w:p w14:paraId="5D0D76D5">
      <w:pPr>
        <w:jc w:val="left"/>
      </w:pPr>
      <w:r>
        <w:rPr>
          <w:b/>
        </w:rPr>
        <w:t>• waybillInfo（建单信息）：</w:t>
      </w:r>
      <w:r>
        <w:t>originalDocumentNumber、shippingNoteNumber、documentCreateTime、carrier、unifiedSocialCreditIdentifier、permitNumber、businessTypeCode、goodsArrangementTypeCode、orderReceivingTime、departureTime、commercialContractNumber、contractNumber、mileage</w:t>
      </w:r>
    </w:p>
    <w:p w14:paraId="3C4178A4">
      <w:pPr>
        <w:jc w:val="left"/>
      </w:pPr>
      <w:r>
        <w:rPr>
          <w:b/>
        </w:rPr>
        <w:t>• consignorInfo（托运人信息）：</w:t>
      </w:r>
      <w:r>
        <w:t>consignor、consignorId、frameContractNumber、placeOfLoading、loadingLongitude、loadingLatitude、loadingCountrySubdivisionCode</w:t>
      </w:r>
    </w:p>
    <w:p w14:paraId="6B4E128E">
      <w:pPr>
        <w:jc w:val="left"/>
      </w:pPr>
      <w:r>
        <w:rPr>
          <w:b/>
        </w:rPr>
        <w:t>• consigneeInfo（收货方信息）：</w:t>
      </w:r>
      <w:r>
        <w:t>consignee、consigneeId、goodsReceiptPlace、unLoadingLongitude、unLoadingLatitude</w:t>
      </w:r>
    </w:p>
    <w:p w14:paraId="2CFAC067">
      <w:pPr>
        <w:jc w:val="left"/>
      </w:pPr>
      <w:r>
        <w:rPr>
          <w:b/>
        </w:rPr>
        <w:t>• driverInfo（司机信息）：</w:t>
      </w:r>
      <w:r>
        <w:t>driverName、drivingIdNumber、drivingLicense、issuingOrganizations、qualificationCertificate、qualificationCertificateFrom、qualificationCertificateTo、taxRegistrationCertificate、telephone、validPeriodFrom、validPeriodTo、vehicleClass、provinceCode</w:t>
      </w:r>
    </w:p>
    <w:p w14:paraId="486B6B8C">
      <w:pPr>
        <w:jc w:val="left"/>
      </w:pPr>
      <w:r>
        <w:rPr>
          <w:b/>
        </w:rPr>
        <w:t>• carInfo（接单车辆信息）：</w:t>
      </w:r>
      <w:r>
        <w:t>vehicleNumber、vehiclePlateColorCode、LicensePlateTypeCode、vin、owner、ownerId、useCharacter、vehicleType、vehicleEnergyType、registerDate、issueDate、issuingOrganizations、vehicleTonnage、grossMass、roadTransportCertificateNumber、trailerVehiclePlateNumber、vehicleLicenseNumbe、roadTransportSocialCreditFrom、roadTransportSocialCreditTo</w:t>
      </w:r>
    </w:p>
    <w:p w14:paraId="095F9365">
      <w:pPr>
        <w:jc w:val="left"/>
      </w:pPr>
      <w:r>
        <w:rPr>
          <w:b/>
        </w:rPr>
        <w:t>•</w:t>
      </w:r>
      <w:r>
        <w:rPr>
          <w:rFonts w:hint="eastAsia"/>
          <w:b/>
        </w:rPr>
        <w:t xml:space="preserve"> </w:t>
      </w:r>
      <w:r>
        <w:rPr>
          <w:b/>
        </w:rPr>
        <w:t>goodsInfos（货物信息，可多条）：</w:t>
      </w:r>
      <w:r>
        <w:t>descriptionOfGoods、cargoTypeClassificationCode、quantity、unit</w:t>
      </w:r>
    </w:p>
    <w:p w14:paraId="0E7A1ACD">
      <w:pPr>
        <w:jc w:val="left"/>
      </w:pPr>
      <w:r>
        <w:rPr>
          <w:b/>
        </w:rPr>
        <w:t>• insuranceInformation（保险信息，可选）：</w:t>
      </w:r>
      <w:r>
        <w:t>policyNumber、insuranceCompany</w:t>
      </w:r>
    </w:p>
    <w:p w14:paraId="57EDDB01">
      <w:r>
        <w:rPr>
          <w:b/>
        </w:rPr>
        <w:t>3.2 第二次上报字段（打款完成）</w:t>
      </w:r>
    </w:p>
    <w:p w14:paraId="55A3B5DA">
      <w:r>
        <w:t>新增字段说明：</w:t>
      </w:r>
    </w:p>
    <w:p w14:paraId="1EFD105B">
      <w:r>
        <w:t>• 收款人（自定义扩展字段）：对应资金流水中的收款方名称recipient)</w:t>
      </w:r>
    </w:p>
    <w:p w14:paraId="0A5E7C56">
      <w:r>
        <w:t>• 收款账号（自定义扩展字段）：对应资金流水中的收款账号receiptAccount)</w:t>
      </w:r>
    </w:p>
    <w:p w14:paraId="7F2486F4">
      <w:r>
        <w:t>• 收款账号类型（自定义扩展字段）：个人账户 / 对公账户，为我方自定义列</w:t>
      </w:r>
    </w:p>
    <w:p w14:paraId="4581F78A">
      <w:r>
        <w:rPr>
          <w:b/>
        </w:rPr>
        <w:t>3.3 第三次上报字段（开票完成）</w:t>
      </w:r>
    </w:p>
    <w:p w14:paraId="230645E2">
      <w:r>
        <w:t>核心字段：</w:t>
      </w:r>
    </w:p>
    <w:p w14:paraId="1CDDBF54">
      <w:r>
        <w:t>• 发票号码（invoiceNo）：增值税发票号码</w:t>
      </w:r>
    </w:p>
    <w:p w14:paraId="15553EEB">
      <w:r>
        <w:t>• 发票代码（invoiceCode）：增值税发票代码</w:t>
      </w:r>
    </w:p>
    <w:p w14:paraId="268F54E2">
      <w:r>
        <w:t>• 发票金额（invoiceAmount）：价税合计（保留2位小数）</w:t>
      </w:r>
    </w:p>
    <w:p w14:paraId="704A3C6D">
      <w:r>
        <w:t>（注：第三次上传的invoice无税率字段，税率仅出现在ETC发票上传中）</w:t>
      </w:r>
    </w:p>
    <w:p w14:paraId="6F231E70">
      <w:r>
        <w:t>• 销售方名称（sellerName）：开票方企业名称</w:t>
      </w:r>
    </w:p>
    <w:p w14:paraId="3CE2872B">
      <w:r>
        <w:t>• 受票方名称（buyerName）：托运人/货主企业名称</w:t>
      </w:r>
    </w:p>
    <w:p w14:paraId="61E62704">
      <w:r>
        <w:rPr>
          <w:b/>
        </w:rPr>
        <w:t>3.4 ETC发票字段</w:t>
      </w:r>
    </w:p>
    <w:p w14:paraId="7F2CE23A">
      <w:r>
        <w:t>核心字段：</w:t>
      </w:r>
    </w:p>
    <w:p w14:paraId="3D1E5D3E">
      <w:r>
        <w:t>• ETC发票号码（etcInvoiceNo）：高速公路通行费电子发票号码</w:t>
      </w:r>
    </w:p>
    <w:p w14:paraId="16E6BCC9">
      <w:r>
        <w:t>• 入口收费站（entryStation）：通行入口</w:t>
      </w:r>
    </w:p>
    <w:p w14:paraId="1F124FFA">
      <w:r>
        <w:t>• 出口收费站（exitStation）：通行出口</w:t>
      </w:r>
    </w:p>
    <w:p w14:paraId="66690FA3">
      <w:r>
        <w:t>• 税额（taxAmount）：可抵扣税额（税率3%）</w:t>
      </w:r>
    </w:p>
    <w:p w14:paraId="3E602A7E">
      <w:pPr>
        <w:snapToGrid/>
        <w:spacing w:line="240" w:lineRule="auto"/>
        <w:rPr>
          <w:rFonts w:hint="eastAsia"/>
        </w:rPr>
      </w:pPr>
    </w:p>
    <w:p w14:paraId="13AE0B84">
      <w:pPr>
        <w:snapToGrid/>
        <w:spacing w:line="240" w:lineRule="auto"/>
      </w:pPr>
      <w:r>
        <w:rPr>
          <w:rFonts w:hint="eastAsia"/>
        </w:rPr>
        <w:t>详细数据接口字段请查阅</w:t>
      </w:r>
      <w:r>
        <w:rPr>
          <w:i w:val="0"/>
          <w:strike w:val="0"/>
          <w:color w:val="000000"/>
          <w:u w:val="none"/>
        </w:rPr>
        <w:t>上报接口：</w:t>
      </w:r>
    </w:p>
    <w:p w14:paraId="76631CCF">
      <w:pPr>
        <w:snapToGrid/>
        <w:spacing w:line="240" w:lineRule="auto"/>
      </w:pPr>
      <w:r>
        <w:fldChar w:fldCharType="begin"/>
      </w:r>
      <w:r>
        <w:instrText xml:space="preserve">HYPERLINK https://www.showdoc.com.cn/2210641821476236/9919735893682511 normalLink \tdft \tdfe -10 \tdfid \tddp \tdop \tdlt inline \tdds \tdfvi \tdlf \tdtf \l \tdsub normalLink \tdkey 3kedbb \tdkey 3kedbb</w:instrText>
      </w:r>
      <w:r>
        <w:fldChar w:fldCharType="separate"/>
      </w:r>
      <w:r>
        <w:rPr>
          <w:rStyle w:val="20"/>
          <w:color w:val="auto"/>
        </w:rPr>
        <w:t> https://www.showdoc.com.cn/2210641821476236/9919735893682511 </w:t>
      </w:r>
      <w:r>
        <w:fldChar w:fldCharType="end"/>
      </w:r>
    </w:p>
    <w:p w14:paraId="6A20A2B4">
      <w:pPr>
        <w:snapToGrid/>
        <w:spacing w:line="240" w:lineRule="auto"/>
      </w:pPr>
      <w:r>
        <w:rPr>
          <w:i w:val="0"/>
          <w:strike w:val="0"/>
          <w:color w:val="000000"/>
          <w:u w:val="none"/>
        </w:rPr>
        <w:t>密码：szjj@2023</w:t>
      </w:r>
    </w:p>
    <w:p w14:paraId="291DC212"/>
    <w:p w14:paraId="012F78A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原型文件路径：</w:t>
      </w:r>
    </w:p>
    <w:p w14:paraId="575037C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"E:\WeChat\xwechat_files\wxid_2n9ko0aq1th822_44c3\msg\file\2026-07\anhuibaba_index.html"</w:t>
      </w:r>
    </w:p>
    <w:p w14:paraId="59E3ED69">
      <w:r>
        <w:rPr>
          <w:rFonts w:hint="eastAsia"/>
          <w:lang w:val="en-US" w:eastAsia="zh-CN"/>
        </w:rPr>
        <w:t>接口文档路径："E:\Downloads\网货企业端接口文档（最新）.pdf"</w:t>
      </w:r>
    </w:p>
    <w:sectPr>
      <w:pgSz w:w="11906" w:h="16838"/>
      <w:pgMar w:top="1440" w:right="1797" w:bottom="1440" w:left="1797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1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387"/>
  <w:displayHorizontalDrawingGridEvery w:val="0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49C312C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7E06C94"/>
    <w:rsid w:val="68650EE1"/>
    <w:rsid w:val="68CA2609"/>
    <w:rsid w:val="68CC1AED"/>
    <w:rsid w:val="69BB0F42"/>
    <w:rsid w:val="6A637494"/>
    <w:rsid w:val="6BCF62E6"/>
    <w:rsid w:val="6CD3A16D"/>
    <w:rsid w:val="6D535020"/>
    <w:rsid w:val="6E5F49A6"/>
    <w:rsid w:val="6E6B58B7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qFormat="1"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/>
      <w:jc w:val="both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b/>
      <w:sz w:val="28"/>
    </w:rPr>
  </w:style>
  <w:style w:type="paragraph" w:styleId="5">
    <w:name w:val="heading 4"/>
    <w:basedOn w:val="1"/>
    <w:next w:val="1"/>
    <w:qFormat/>
    <w:uiPriority w:val="0"/>
    <w:pPr>
      <w:keepNext/>
      <w:keepLines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line="480" w:lineRule="auto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line="480" w:lineRule="auto"/>
      <w:outlineLvl w:val="5"/>
    </w:pPr>
    <w:rPr>
      <w:b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line="480" w:lineRule="auto"/>
      <w:outlineLvl w:val="6"/>
    </w:pPr>
    <w:rPr>
      <w:b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line="480" w:lineRule="auto"/>
      <w:outlineLvl w:val="7"/>
    </w:pPr>
    <w:rPr>
      <w:b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line="480" w:lineRule="auto"/>
      <w:outlineLvl w:val="8"/>
    </w:pPr>
    <w:rPr>
      <w:b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3"/>
    <w:qFormat/>
    <w:uiPriority w:val="0"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15">
    <w:name w:val="Title"/>
    <w:basedOn w:val="1"/>
    <w:next w:val="1"/>
    <w:link w:val="24"/>
    <w:qFormat/>
    <w:uiPriority w:val="0"/>
    <w:pPr>
      <w:jc w:val="center"/>
      <w:outlineLvl w:val="0"/>
    </w:pPr>
    <w:rPr>
      <w:rFonts w:cstheme="majorBidi"/>
      <w:b/>
      <w:bCs/>
      <w:sz w:val="48"/>
      <w:szCs w:val="32"/>
    </w:rPr>
  </w:style>
  <w:style w:type="table" w:styleId="17">
    <w:name w:val="Table Grid"/>
    <w:basedOn w:val="16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18">
    <w:name w:val="Light Grid Accent 1"/>
    <w:qFormat/>
    <w:uiPriority w:val="62"/>
    <w:pPr>
      <w:spacing w:after="0" w:line="240" w:lineRule="auto"/>
    </w:pPr>
    <w:tblPr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  <w:insideH w:val="nil"/>
          <w:insideV w:val="single" w:sz="8" w:space="0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cPr>
        <w:shd w:val="clear" w:color="auto" w:fill="auto"/>
      </w:tc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sz="8" w:space="0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  <w:insideV w:val="single" w:sz="8" w:space="0"/>
        </w:tcBorders>
        <w:shd w:val="clear" w:color="auto" w:fill="auto"/>
      </w:tcPr>
    </w:tblStylePr>
  </w:style>
  <w:style w:type="character" w:styleId="20">
    <w:name w:val="Hyperlink"/>
    <w:basedOn w:val="19"/>
    <w:qFormat/>
    <w:uiPriority w:val="0"/>
    <w:rPr>
      <w:color w:val="1E6FFF"/>
      <w:u w:val="single"/>
    </w:rPr>
  </w:style>
  <w:style w:type="character" w:customStyle="1" w:styleId="21">
    <w:name w:val="melo-codeblock-Base-theme-char"/>
    <w:qFormat/>
    <w:uiPriority w:val="99"/>
    <w:rPr>
      <w:rFonts w:ascii="Monaco" w:hAnsi="Monaco" w:eastAsia="Monaco" w:cs="Monaco"/>
      <w:color w:val="000000"/>
      <w:sz w:val="21"/>
    </w:rPr>
  </w:style>
  <w:style w:type="paragraph" w:customStyle="1" w:styleId="22">
    <w:name w:val="melo-codeblock-Base-theme-para"/>
    <w:qFormat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  <w:lang w:val="en-US" w:eastAsia="zh-CN" w:bidi="ar-SA"/>
    </w:rPr>
  </w:style>
  <w:style w:type="character" w:customStyle="1" w:styleId="23">
    <w:name w:val="副标题 字符"/>
    <w:basedOn w:val="19"/>
    <w:link w:val="14"/>
    <w:qFormat/>
    <w:uiPriority w:val="0"/>
    <w:rPr>
      <w:rFonts w:ascii="Arial" w:hAnsi="Arial" w:eastAsia="微软雅黑" w:cstheme="minorBidi"/>
      <w:b/>
      <w:bCs/>
      <w:kern w:val="28"/>
      <w:sz w:val="44"/>
      <w:szCs w:val="32"/>
    </w:rPr>
  </w:style>
  <w:style w:type="character" w:customStyle="1" w:styleId="24">
    <w:name w:val="标题 字符"/>
    <w:basedOn w:val="19"/>
    <w:link w:val="15"/>
    <w:qFormat/>
    <w:uiPriority w:val="0"/>
    <w:rPr>
      <w:rFonts w:ascii="Arial" w:hAnsi="Arial" w:eastAsia="微软雅黑" w:cstheme="majorBidi"/>
      <w:b/>
      <w:bCs/>
      <w:kern w:val="2"/>
      <w:sz w:val="4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4306</Words>
  <Characters>5697</Characters>
  <TotalTime>1</TotalTime>
  <ScaleCrop>false</ScaleCrop>
  <LinksUpToDate>false</LinksUpToDate>
  <CharactersWithSpaces>5804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2026-07-13T09:17:00Z</dcterms:created>
  <dc:creator>23184</dc:creator>
  <cp:lastModifiedBy>四海为家~</cp:lastModifiedBy>
  <dcterms:modified xsi:type="dcterms:W3CDTF">2026-07-13T07:24:13Z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eyJoZGlkIjoiNjk5MzU1M2JjNzkwYjFjNDIzMGE1YjgyZjUxNDRmMGIiLCJ1c2VySWQiOiI0NDE0MDgzOTUifQ==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270444F8A80B4DDFBFAA9709A0C64AB6_12</vt:lpwstr>
  </property>
</Properties>
</file>